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jc w:val="center"/>
      </w:pPr>
      <w:r>
        <w:rPr>
          <w:rFonts w:ascii="Arial" w:cs="Arial" w:eastAsia="Arial" w:hAnsi="Arial"/>
          <w:b/>
          <w:bCs/>
          <w:color w:val="1A3A5C"/>
          <w:spacing w:val="60"/>
          <w:sz w:val="36"/>
          <w:szCs w:val="36"/>
        </w:rPr>
        <w:t xml:space="preserve">DARION DeBROSSARD</w:t>
      </w:r>
    </w:p>
    <w:p>
      <w:pPr>
        <w:spacing w:after="40" w:before="0"/>
        <w:jc w:val="center"/>
      </w:pPr>
      <w:r>
        <w:rPr>
          <w:rFonts w:ascii="Arial" w:cs="Arial" w:eastAsia="Arial" w:hAnsi="Arial"/>
          <w:i/>
          <w:iCs/>
          <w:color w:val="2E5F8A"/>
          <w:sz w:val="18"/>
          <w:szCs w:val="18"/>
        </w:rPr>
        <w:t>Marine Account Risk  |  Exposure Analysis  |  Underwriter Support</w:t>
      </w:r>
    </w:p>
    <w:p>
      <w:pPr>
        <w:spacing w:after="20" w:before="0"/>
        <w:jc w:val="center"/>
      </w:pPr>
      <w:r>
        <w:rPr>
          <w:rFonts w:ascii="Arial" w:cs="Arial" w:eastAsia="Arial" w:hAnsi="Arial"/>
          <w:color w:val="666666"/>
          <w:sz w:val="18"/>
          <w:szCs w:val="18"/>
        </w:rPr>
        <w:t xml:space="preserve">Atlanta, GA  •  (470) 796-7032  •  debrossarddarion@gmail.com</w:t>
      </w:r>
    </w:p>
    <w:p>
      <w:pPr>
        <w:pBdr>
          <w:bottom w:val="single" w:color="1A3A5C" w:sz="8" w:space="1"/>
        </w:pBdr>
        <w:spacing w:after="80" w:before="0"/>
      </w:pPr>
    </w:p>
    <w:p>
      <w:pPr>
        <w:spacing w:after="80" w:before="0"/>
      </w:pPr>
    </w:p>
    <w:p>
      <w:pPr>
        <w:pBdr>
          <w:bottom w:val="single" w:color="1A3A5C" w:sz="6" w:space="2"/>
        </w:pBdr>
        <w:spacing w:after="0" w:before="160"/>
      </w:pPr>
      <w:r>
        <w:rPr>
          <w:rFonts w:ascii="Arial" w:cs="Arial" w:eastAsia="Arial" w:hAnsi="Arial"/>
          <w:b/>
          <w:bCs/>
          <w:color w:val="1A3A5C"/>
          <w:spacing w:val="40"/>
          <w:sz w:val="21"/>
          <w:szCs w:val="21"/>
        </w:rPr>
        <w:t xml:space="preserve">PROFESSIONAL SUMMARY</w:t>
      </w:r>
    </w:p>
    <w:p>
      <w:pPr>
        <w:spacing w:after="60" w:before="0"/>
      </w:pPr>
    </w:p>
    <w:p>
      <w:pPr>
        <w:spacing w:after="60" w:before="0"/>
      </w:pPr>
      <w:r>
        <w:rPr>
          <w:rFonts w:ascii="Arial" w:cs="Arial" w:eastAsia="Arial" w:hAnsi="Arial"/>
          <w:color w:val="1A1A1A"/>
          <w:sz w:val="19"/>
          <w:szCs w:val="19"/>
        </w:rPr>
        <w:t>Insurance risk and operations professional experienced evaluating complex commercial marine accounts, reviewing policy and endorsement structures, assessing exposure, reading premium, loss, and reserve information, coordinating technical resources, and delivering written risk intelligence to underwriting and client stakeholders.</w:t>
      </w:r>
    </w:p>
    <w:p>
      <w:pPr>
        <w:spacing w:after="60" w:before="0"/>
      </w:pPr>
    </w:p>
    <w:p>
      <w:pPr>
        <w:pBdr>
          <w:bottom w:val="single" w:color="1A3A5C" w:sz="6" w:space="2"/>
        </w:pBdr>
        <w:spacing w:after="0" w:before="160"/>
      </w:pPr>
      <w:r>
        <w:rPr>
          <w:rFonts w:ascii="Arial" w:cs="Arial" w:eastAsia="Arial" w:hAnsi="Arial"/>
          <w:b/>
          <w:bCs/>
          <w:color w:val="1A3A5C"/>
          <w:spacing w:val="40"/>
          <w:sz w:val="21"/>
          <w:szCs w:val="21"/>
        </w:rPr>
        <w:t xml:space="preserve">CORE COMPETENCIES</w:t>
      </w:r>
    </w:p>
    <w:p>
      <w:pPr>
        <w:spacing w:after="60" w:before="0"/>
      </w:pPr>
    </w:p>
    <w:p>
      <w:pPr>
        <w:spacing w:after="30" w:before="0"/>
      </w:pPr>
      <w:r>
        <w:rPr>
          <w:rFonts w:ascii="Arial" w:cs="Arial" w:eastAsia="Arial" w:hAnsi="Arial"/>
          <w:color w:val="1A1A1A"/>
          <w:sz w:val="18"/>
          <w:szCs w:val="18"/>
        </w:rPr>
        <w:t xml:space="preserve">Casualty Exposure Identification &amp; Assessment  •  Loss Driver Analysis (WC / GL / Auto)  •  Risk Survey Documentation &amp; Reporting  •  Underwriter Risk Intelligence Support  •  Claims Data Evaluation &amp; Trend Analysis  •  Operational Hazard Review  •  Client Risk Recommendations  •  Regulatory &amp; Audit-Compliant Documentation  •  Vendor &amp; Contractor Management  •  Portfolio-Level Risk Identification  •  Written &amp; Verbal Risk Communication  •  Sarbanes-Oxley (SOX) Compliance  •  Microsoft Excel, Word &amp; PowerPoint  •  Power BI &amp; Data Visualization  •  Stakeholder Presentation (In-Person &amp; Web-Based)  •  Independent Decision-Making  •  AI-Enabled Workflow Automation</w:t>
      </w:r>
    </w:p>
    <w:p>
      <w:pPr>
        <w:spacing w:after="60" w:before="0"/>
      </w:pPr>
    </w:p>
    <w:p>
      <w:pPr>
        <w:pBdr>
          <w:bottom w:val="single" w:color="1A3A5C" w:sz="6" w:space="2"/>
        </w:pBdr>
        <w:spacing w:after="0" w:before="160"/>
      </w:pPr>
      <w:r>
        <w:rPr>
          <w:rFonts w:ascii="Arial" w:cs="Arial" w:eastAsia="Arial" w:hAnsi="Arial"/>
          <w:b/>
          <w:bCs/>
          <w:color w:val="1A3A5C"/>
          <w:spacing w:val="40"/>
          <w:sz w:val="21"/>
          <w:szCs w:val="21"/>
        </w:rPr>
        <w:t xml:space="preserve">PROFESSIONAL EXPERIENCE</w:t>
      </w:r>
    </w:p>
    <w:p>
      <w:pPr>
        <w:spacing w:after="40" w:before="0"/>
      </w:pPr>
    </w:p>
    <w:p>
      <w:pPr>
        <w:tabs>
          <w:tab w:val="right" w:pos="9360"/>
        </w:tabs>
        <w:spacing w:after="0" w:before="120"/>
      </w:pPr>
      <w:r>
        <w:rPr>
          <w:rFonts w:ascii="Arial" w:cs="Arial" w:eastAsia="Arial" w:hAnsi="Arial"/>
          <w:b/>
          <w:bCs/>
          <w:color w:val="1A1A1A"/>
          <w:sz w:val="22"/>
          <w:szCs w:val="22"/>
        </w:rPr>
        <w:t>Senior Marine Specialist</w:t>
        <w:tab/>
        <w:t>2023 – 2025</w:t>
      </w:r>
      <w:r>
        <w:rPr>
          <w:rFonts w:ascii="Arial" w:cs="Arial" w:eastAsia="Arial" w:hAnsi="Arial"/>
          <w:color w:val="666666"/>
          <w:sz w:val="19"/>
          <w:szCs w:val="19"/>
        </w:rPr>
      </w:r>
    </w:p>
    <w:p>
      <w:pPr>
        <w:tabs>
          <w:tab w:val="right" w:pos="9360"/>
        </w:tabs>
        <w:spacing w:after="60" w:before="0"/>
      </w:pPr>
      <w:r>
        <w:rPr>
          <w:rFonts w:ascii="Arial" w:cs="Arial" w:eastAsia="Arial" w:hAnsi="Arial"/>
          <w:i/>
          <w:iCs/>
          <w:color w:val="2E5F8A"/>
          <w:sz w:val="19"/>
          <w:szCs w:val="19"/>
        </w:rPr>
        <w:t xml:space="preserve">Intact Insurance Specialty Solutions</w:t>
      </w:r>
      <w:r>
        <w:rPr>
          <w:rFonts w:ascii="Arial" w:cs="Arial" w:eastAsia="Arial" w:hAnsi="Arial"/>
          <w:i/>
          <w:iCs/>
          <w:color w:val="666666"/>
          <w:sz w:val="18"/>
          <w:szCs w:val="18"/>
        </w:rPr>
        <w:t xml:space="preserve">	Alpharetta / Atlanta, GA</w:t>
      </w:r>
    </w:p>
    <w:p>
      <w:pPr>
        <w:pStyle w:val="ListParagraph"/>
        <w:numPr>
          <w:ilvl w:val="0"/>
          <w:numId w:val="2"/>
        </w:numPr>
        <w:spacing w:after="30" w:before="30"/>
      </w:pPr>
      <w:r>
        <w:rPr>
          <w:rFonts w:ascii="Arial" w:cs="Arial" w:eastAsia="Arial" w:hAnsi="Arial"/>
          <w:color w:val="1A1A1A"/>
          <w:sz w:val="19"/>
          <w:szCs w:val="19"/>
        </w:rPr>
        <w:t>Reviewed complex commercial marine accounts through account-level coverage analysis, policy and endorsement review, exposure evaluation, and the operating conditions that shaped the account’s risk profile.</w:t>
      </w:r>
    </w:p>
    <w:p>
      <w:pPr>
        <w:pStyle w:val="ListParagraph"/>
        <w:numPr>
          <w:ilvl w:val="0"/>
          <w:numId w:val="2"/>
        </w:numPr>
        <w:spacing w:after="30" w:before="30"/>
      </w:pPr>
      <w:r>
        <w:rPr>
          <w:rFonts w:ascii="Arial" w:cs="Arial" w:eastAsia="Arial" w:hAnsi="Arial"/>
          <w:color w:val="1A1A1A"/>
          <w:sz w:val="19"/>
          <w:szCs w:val="19"/>
        </w:rPr>
        <w:t>Reviewed premium, loss, and reserve information for frequency, severity, loss-trend, and open-exposure signals that could inform underwriting judgment and book protection.</w:t>
      </w:r>
    </w:p>
    <w:p>
      <w:pPr>
        <w:pStyle w:val="ListParagraph"/>
        <w:numPr>
          <w:ilvl w:val="0"/>
          <w:numId w:val="2"/>
        </w:numPr>
        <w:spacing w:after="30" w:before="30"/>
      </w:pPr>
      <w:r>
        <w:rPr>
          <w:rFonts w:ascii="Arial" w:cs="Arial" w:eastAsia="Arial" w:hAnsi="Arial"/>
          <w:color w:val="1A1A1A"/>
          <w:sz w:val="19"/>
          <w:szCs w:val="19"/>
        </w:rPr>
        <w:t>Coordinated marine surveys and technical evidence, translating inspection findings into clear account assessments, referral notes, and written documentation for underwriting review.</w:t>
      </w:r>
    </w:p>
    <w:p>
      <w:pPr>
        <w:pStyle w:val="ListParagraph"/>
        <w:numPr>
          <w:ilvl w:val="0"/>
          <w:numId w:val="2"/>
        </w:numPr>
        <w:spacing w:after="30" w:before="30"/>
      </w:pPr>
      <w:r>
        <w:rPr>
          <w:rFonts w:ascii="Arial" w:cs="Arial" w:eastAsia="Arial" w:hAnsi="Arial"/>
          <w:color w:val="1A1A1A"/>
          <w:sz w:val="19"/>
          <w:szCs w:val="19"/>
        </w:rPr>
        <w:t>Worked with brokers, producers, surveyors, counsel, and account stakeholders to clarify exposure, surface loss-control opportunities, and keep the decision path visible.</w:t>
      </w:r>
    </w:p>
    <w:p>
      <w:pPr>
        <w:pStyle w:val="ListParagraph"/>
        <w:numPr>
          <w:ilvl w:val="0"/>
          <w:numId w:val="2"/>
        </w:numPr>
        <w:spacing w:after="30" w:before="30"/>
      </w:pPr>
      <w:r>
        <w:rPr>
          <w:rFonts w:ascii="Arial" w:cs="Arial" w:eastAsia="Arial" w:hAnsi="Arial"/>
          <w:color w:val="1A1A1A"/>
          <w:sz w:val="19"/>
          <w:szCs w:val="19"/>
        </w:rPr>
        <w:t>Supported account selection, retention, and portfolio-protection decisions by connecting operating facts, technical evidence, and financial consequence.</w:t>
      </w:r>
    </w:p>
    <w:p>
      <w:pPr>
        <w:pStyle w:val="ListParagraph"/>
        <w:numPr>
          <w:ilvl w:val="0"/>
          <w:numId w:val="2"/>
        </w:numPr>
        <w:spacing w:after="30" w:before="30"/>
      </w:pPr>
      <w:r>
        <w:rPr>
          <w:rFonts w:ascii="Arial" w:cs="Arial" w:eastAsia="Arial" w:hAnsi="Arial"/>
          <w:color w:val="1A1A1A"/>
          <w:sz w:val="19"/>
          <w:szCs w:val="19"/>
        </w:rPr>
        <w:t>Managed third-party technical resources with attention to assignment scope, deliverable quality, timing, and consistency with the account’s underwriting needs.</w:t>
      </w:r>
    </w:p>
    <w:p>
      <w:pPr>
        <w:pStyle w:val="ListParagraph"/>
        <w:numPr>
          <w:ilvl w:val="0"/>
          <w:numId w:val="2"/>
        </w:numPr>
        <w:spacing w:after="30" w:before="30"/>
      </w:pPr>
      <w:r>
        <w:rPr>
          <w:rFonts w:ascii="Arial" w:cs="Arial" w:eastAsia="Arial" w:hAnsi="Arial"/>
          <w:color w:val="1A1A1A"/>
          <w:sz w:val="19"/>
          <w:szCs w:val="19"/>
        </w:rPr>
        <w:t>Maintained disciplined written records and repeatable review practices so account judgment remained clear, traceable, and usable by the next stakeholder.</w:t>
      </w:r>
    </w:p>
    <w:p>
      <w:pPr>
        <w:spacing w:after="60" w:before="0"/>
      </w:pPr>
    </w:p>
    <w:p>
      <w:pPr>
        <w:tabs>
          <w:tab w:val="right" w:pos="9360"/>
        </w:tabs>
        <w:spacing w:after="0" w:before="120"/>
      </w:pPr>
      <w:r>
        <w:rPr>
          <w:rFonts w:ascii="Arial" w:cs="Arial" w:eastAsia="Arial" w:hAnsi="Arial"/>
          <w:b/>
          <w:bCs/>
          <w:color w:val="1A1A1A"/>
          <w:sz w:val="22"/>
          <w:szCs w:val="22"/>
        </w:rPr>
        <w:t xml:space="preserve">Insurance Risk Analytics Consultant — Operations &amp; Workflow Design</w:t>
      </w:r>
      <w:r>
        <w:rPr>
          <w:rFonts w:ascii="Arial" w:cs="Arial" w:eastAsia="Arial" w:hAnsi="Arial"/>
          <w:color w:val="666666"/>
          <w:sz w:val="19"/>
          <w:szCs w:val="19"/>
        </w:rPr>
        <w:t xml:space="preserve">	2021 – 2023</w:t>
      </w:r>
    </w:p>
    <w:p>
      <w:pPr>
        <w:tabs>
          <w:tab w:val="right" w:pos="9360"/>
        </w:tabs>
        <w:spacing w:after="60" w:before="0"/>
      </w:pPr>
      <w:r>
        <w:rPr>
          <w:rFonts w:ascii="Arial" w:cs="Arial" w:eastAsia="Arial" w:hAnsi="Arial"/>
          <w:i/>
          <w:iCs/>
          <w:color w:val="2E5F8A"/>
          <w:sz w:val="19"/>
          <w:szCs w:val="19"/>
        </w:rPr>
        <w:t xml:space="preserve">Esync Technologies</w:t>
      </w:r>
      <w:r>
        <w:rPr>
          <w:rFonts w:ascii="Arial" w:cs="Arial" w:eastAsia="Arial" w:hAnsi="Arial"/>
          <w:i/>
          <w:iCs/>
          <w:color w:val="666666"/>
          <w:sz w:val="18"/>
          <w:szCs w:val="18"/>
        </w:rPr>
        <w:t xml:space="preserve">	Atlanta, GA</w:t>
      </w:r>
    </w:p>
    <w:p>
      <w:pPr>
        <w:pStyle w:val="ListParagraph"/>
        <w:numPr>
          <w:ilvl w:val="0"/>
          <w:numId w:val="2"/>
        </w:numPr>
        <w:spacing w:after="30" w:before="30"/>
      </w:pPr>
      <w:r>
        <w:rPr>
          <w:rFonts w:ascii="Arial" w:cs="Arial" w:eastAsia="Arial" w:hAnsi="Arial"/>
          <w:color w:val="1A1A1A"/>
          <w:sz w:val="19"/>
          <w:szCs w:val="19"/>
        </w:rPr>
        <w:t xml:space="preserve">Conducted operational risk assessments of carrier and brokerage workflows — evaluating submissions, policy renewals, claims handoffs, and internal reporting processes — and identified control gaps with measurable impact on loss experience and operational decision quality.</w:t>
      </w:r>
    </w:p>
    <w:p>
      <w:pPr>
        <w:pStyle w:val="ListParagraph"/>
        <w:numPr>
          <w:ilvl w:val="0"/>
          <w:numId w:val="2"/>
        </w:numPr>
        <w:spacing w:after="30" w:before="30"/>
      </w:pPr>
      <w:r>
        <w:rPr>
          <w:rFonts w:ascii="Arial" w:cs="Arial" w:eastAsia="Arial" w:hAnsi="Arial"/>
          <w:color w:val="1A1A1A"/>
          <w:sz w:val="19"/>
          <w:szCs w:val="19"/>
        </w:rPr>
        <w:t xml:space="preserve">Built risk and loss-cost analytics frameworks measuring incident volume, claims costs, turnaround time, and decision consistency; developed data visualizations and executive presentations that translated complex risk data into clear action plans for senior stakeholders.</w:t>
      </w:r>
    </w:p>
    <w:p>
      <w:pPr>
        <w:pStyle w:val="ListParagraph"/>
        <w:numPr>
          <w:ilvl w:val="0"/>
          <w:numId w:val="2"/>
        </w:numPr>
        <w:spacing w:after="30" w:before="30"/>
      </w:pPr>
      <w:r>
        <w:rPr>
          <w:rFonts w:ascii="Arial" w:cs="Arial" w:eastAsia="Arial" w:hAnsi="Arial"/>
          <w:color w:val="1A1A1A"/>
          <w:sz w:val="19"/>
          <w:szCs w:val="19"/>
        </w:rPr>
        <w:t xml:space="preserve">Delivered written risk findings and business cases to senior insurance and technology leaders, applying rigorous documentation standards consistent with SOX internal control requirements.</w:t>
      </w:r>
    </w:p>
    <w:p>
      <w:pPr>
        <w:pStyle w:val="ListParagraph"/>
        <w:numPr>
          <w:ilvl w:val="0"/>
          <w:numId w:val="2"/>
        </w:numPr>
        <w:spacing w:after="30" w:before="30"/>
      </w:pPr>
      <w:r>
        <w:rPr>
          <w:rFonts w:ascii="Arial" w:cs="Arial" w:eastAsia="Arial" w:hAnsi="Arial"/>
          <w:color w:val="1A1A1A"/>
          <w:sz w:val="19"/>
          <w:szCs w:val="19"/>
        </w:rPr>
        <w:t xml:space="preserve">Coordinated across distributed stakeholder groups including cross-time-zone collaboration with UK- and India-based contacts, maintaining delivery timelines and output quality without disruption.</w:t>
      </w:r>
    </w:p>
    <w:p>
      <w:pPr>
        <w:spacing w:after="60" w:before="0"/>
      </w:pPr>
    </w:p>
    <w:p>
      <w:pPr>
        <w:tabs>
          <w:tab w:val="right" w:pos="9360"/>
        </w:tabs>
        <w:spacing w:after="0" w:before="120"/>
      </w:pPr>
      <w:r>
        <w:rPr>
          <w:rFonts w:ascii="Arial" w:cs="Arial" w:eastAsia="Arial" w:hAnsi="Arial"/>
          <w:b/>
          <w:bCs/>
          <w:color w:val="1A1A1A"/>
          <w:sz w:val="22"/>
          <w:szCs w:val="22"/>
        </w:rPr>
        <w:t xml:space="preserve">Insurance Risk Education Consultant — Training &amp; Regulatory Compliance</w:t>
      </w:r>
      <w:r>
        <w:rPr>
          <w:rFonts w:ascii="Arial" w:cs="Arial" w:eastAsia="Arial" w:hAnsi="Arial"/>
          <w:color w:val="666666"/>
          <w:sz w:val="19"/>
          <w:szCs w:val="19"/>
        </w:rPr>
        <w:t xml:space="preserve">	2020 – 2021</w:t>
      </w:r>
    </w:p>
    <w:p>
      <w:pPr>
        <w:tabs>
          <w:tab w:val="right" w:pos="9360"/>
        </w:tabs>
        <w:spacing w:after="60" w:before="0"/>
      </w:pPr>
      <w:r>
        <w:rPr>
          <w:rFonts w:ascii="Arial" w:cs="Arial" w:eastAsia="Arial" w:hAnsi="Arial"/>
          <w:i/>
          <w:iCs/>
          <w:color w:val="2E5F8A"/>
          <w:sz w:val="19"/>
          <w:szCs w:val="19"/>
        </w:rPr>
        <w:t xml:space="preserve">American Institute of Insurance Research</w:t>
      </w:r>
      <w:r>
        <w:rPr>
          <w:rFonts w:ascii="Arial" w:cs="Arial" w:eastAsia="Arial" w:hAnsi="Arial"/>
          <w:i/>
          <w:iCs/>
          <w:color w:val="666666"/>
          <w:sz w:val="18"/>
          <w:szCs w:val="18"/>
        </w:rPr>
        <w:t xml:space="preserve">	Atlanta, GA</w:t>
      </w:r>
    </w:p>
    <w:p>
      <w:pPr>
        <w:pStyle w:val="ListParagraph"/>
        <w:numPr>
          <w:ilvl w:val="0"/>
          <w:numId w:val="2"/>
        </w:numPr>
        <w:spacing w:after="30" w:before="30"/>
      </w:pPr>
      <w:r>
        <w:rPr>
          <w:rFonts w:ascii="Arial" w:cs="Arial" w:eastAsia="Arial" w:hAnsi="Arial"/>
          <w:color w:val="1A1A1A"/>
          <w:sz w:val="19"/>
          <w:szCs w:val="19"/>
        </w:rPr>
        <w:t xml:space="preserve">Designed and delivered continuing education for insurance professionals on casualty risk topics including loss control fundamentals, liability exposure analysis, coverage interpretation, and state regulatory compliance.</w:t>
      </w:r>
    </w:p>
    <w:p>
      <w:pPr>
        <w:pStyle w:val="ListParagraph"/>
        <w:numPr>
          <w:ilvl w:val="0"/>
          <w:numId w:val="2"/>
        </w:numPr>
        <w:spacing w:after="30" w:before="30"/>
      </w:pPr>
      <w:r>
        <w:rPr>
          <w:rFonts w:ascii="Arial" w:cs="Arial" w:eastAsia="Arial" w:hAnsi="Arial"/>
          <w:color w:val="1A1A1A"/>
          <w:sz w:val="19"/>
          <w:szCs w:val="19"/>
        </w:rPr>
        <w:t xml:space="preserve">Developed practical training materials, case studies, and assessment tools aligned with state regulatory standards — building knowledge across brokerage and carrier operations teams on risk identification and documentation best practices.</w:t>
      </w:r>
    </w:p>
    <w:p>
      <w:pPr>
        <w:spacing w:after="60" w:before="0"/>
      </w:pPr>
    </w:p>
    <w:p>
      <w:pPr>
        <w:pBdr>
          <w:bottom w:val="single" w:color="1A3A5C" w:sz="6" w:space="2"/>
        </w:pBdr>
        <w:spacing w:after="0" w:before="160"/>
      </w:pPr>
      <w:r>
        <w:rPr>
          <w:rFonts w:ascii="Arial" w:cs="Arial" w:eastAsia="Arial" w:hAnsi="Arial"/>
          <w:b/>
          <w:bCs/>
          <w:color w:val="1A3A5C"/>
          <w:spacing w:val="40"/>
          <w:sz w:val="21"/>
          <w:szCs w:val="21"/>
        </w:rPr>
        <w:t xml:space="preserve">EDUCATION</w:t>
      </w:r>
    </w:p>
    <w:p>
      <w:pPr>
        <w:spacing w:after="60" w:before="0"/>
      </w:pPr>
    </w:p>
    <w:p>
      <w:pPr>
        <w:tabs>
          <w:tab w:val="right" w:pos="9360"/>
        </w:tabs>
        <w:spacing w:after="20" w:before="60"/>
      </w:pPr>
      <w:r>
        <w:rPr>
          <w:rFonts w:ascii="Arial" w:cs="Arial" w:eastAsia="Arial" w:hAnsi="Arial"/>
          <w:b/>
          <w:bCs/>
          <w:color w:val="1A1A1A"/>
          <w:sz w:val="19"/>
          <w:szCs w:val="19"/>
        </w:rPr>
        <w:t xml:space="preserve">M.S., Leadership Administration</w:t>
      </w:r>
      <w:r>
        <w:rPr>
          <w:rFonts w:ascii="Arial" w:cs="Arial" w:eastAsia="Arial" w:hAnsi="Arial"/>
          <w:color w:val="666666"/>
          <w:sz w:val="19"/>
          <w:szCs w:val="19"/>
        </w:rPr>
        <w:t xml:space="preserve">	Austin Peay State University</w:t>
      </w:r>
    </w:p>
    <w:p>
      <w:pPr>
        <w:tabs>
          <w:tab w:val="right" w:pos="9360"/>
        </w:tabs>
        <w:spacing w:after="40" w:before="0"/>
      </w:pPr>
      <w:r>
        <w:rPr>
          <w:rFonts w:ascii="Arial" w:cs="Arial" w:eastAsia="Arial" w:hAnsi="Arial"/>
          <w:b/>
          <w:bCs/>
          <w:color w:val="1A1A1A"/>
          <w:sz w:val="19"/>
          <w:szCs w:val="19"/>
        </w:rPr>
        <w:t xml:space="preserve">B.A., Sociology  |  Computer Science minor</w:t>
      </w:r>
      <w:r>
        <w:rPr>
          <w:rFonts w:ascii="Arial" w:cs="Arial" w:eastAsia="Arial" w:hAnsi="Arial"/>
          <w:i/>
          <w:iCs/>
          <w:color w:val="666666"/>
          <w:sz w:val="18"/>
          <w:szCs w:val="18"/>
        </w:rPr>
        <w:t xml:space="preserve">	Vanderbilt University  —  SEC Division I Football (Full Scholarship)</w:t>
      </w:r>
    </w:p>
    <w:p>
      <w:pPr>
        <w:spacing w:after="60" w:before="0"/>
      </w:pPr>
    </w:p>
    <w:p>
      <w:pPr>
        <w:pBdr>
          <w:bottom w:val="single" w:color="1A3A5C" w:sz="6" w:space="2"/>
        </w:pBdr>
        <w:spacing w:after="0" w:before="160"/>
      </w:pPr>
      <w:r>
        <w:rPr>
          <w:rFonts w:ascii="Arial" w:cs="Arial" w:eastAsia="Arial" w:hAnsi="Arial"/>
          <w:b/>
          <w:bCs/>
          <w:color w:val="1A3A5C"/>
          <w:spacing w:val="40"/>
          <w:sz w:val="21"/>
          <w:szCs w:val="21"/>
        </w:rPr>
        <w:t xml:space="preserve">CERTIFICATIONS &amp; LICENSING</w:t>
      </w:r>
    </w:p>
    <w:p>
      <w:pPr>
        <w:spacing w:after="60" w:before="0"/>
      </w:pPr>
    </w:p>
    <w:p>
      <w:pPr>
        <w:pStyle w:val="ListParagraph"/>
        <w:numPr>
          <w:ilvl w:val="0"/>
          <w:numId w:val="2"/>
        </w:numPr>
        <w:spacing w:after="30" w:before="30"/>
      </w:pPr>
      <w:r>
        <w:rPr>
          <w:rFonts w:ascii="Arial" w:cs="Arial" w:eastAsia="Arial" w:hAnsi="Arial"/>
          <w:color w:val="1A1A1A"/>
          <w:sz w:val="19"/>
          <w:szCs w:val="19"/>
        </w:rPr>
        <w:t xml:space="preserve">Licensed Insurance Adjuster — all 50 U.S. states (reciprocity, CE maintained)</w:t>
      </w:r>
    </w:p>
    <w:p>
      <w:pPr>
        <w:pStyle w:val="ListParagraph"/>
        <w:numPr>
          <w:ilvl w:val="0"/>
          <w:numId w:val="2"/>
        </w:numPr>
        <w:spacing w:after="30" w:before="30"/>
      </w:pPr>
      <w:r>
        <w:rPr>
          <w:rFonts w:ascii="Arial" w:cs="Arial" w:eastAsia="Arial" w:hAnsi="Arial"/>
          <w:color w:val="1A1A1A"/>
          <w:sz w:val="19"/>
          <w:szCs w:val="19"/>
        </w:rPr>
        <w:t xml:space="preserve">Industry Certification in Progress: CPCU / AIC Track</w:t>
      </w:r>
    </w:p>
    <w:p>
      <w:pPr>
        <w:pStyle w:val="ListParagraph"/>
        <w:numPr>
          <w:ilvl w:val="0"/>
          <w:numId w:val="2"/>
        </w:numPr>
        <w:spacing w:after="30" w:before="30"/>
      </w:pPr>
      <w:r>
        <w:rPr>
          <w:rFonts w:ascii="Arial" w:cs="Arial" w:eastAsia="Arial" w:hAnsi="Arial"/>
          <w:color w:val="1A1A1A"/>
          <w:sz w:val="19"/>
          <w:szCs w:val="19"/>
        </w:rPr>
        <w:t xml:space="preserve">Continuing Education Course Developer &amp; Instructor — casualty risk, loss control, liability coverage, and regulatory compliance</w:t>
      </w:r>
    </w:p>
    <w:p>
      <w:pPr>
        <w:spacing w:after="60" w:before="0"/>
      </w:pPr>
    </w:p>
    <w:p>
      <w:pPr>
        <w:pBdr>
          <w:bottom w:val="single" w:color="1A3A5C" w:sz="6" w:space="2"/>
        </w:pBdr>
        <w:spacing w:after="0" w:before="160"/>
      </w:pPr>
      <w:r>
        <w:rPr>
          <w:rFonts w:ascii="Arial" w:cs="Arial" w:eastAsia="Arial" w:hAnsi="Arial"/>
          <w:b/>
          <w:bCs/>
          <w:color w:val="1A3A5C"/>
          <w:spacing w:val="40"/>
          <w:sz w:val="21"/>
          <w:szCs w:val="21"/>
        </w:rPr>
        <w:t xml:space="preserve">TECHNICAL SKILLS &amp; TOOLS</w:t>
      </w:r>
    </w:p>
    <w:p>
      <w:pPr>
        <w:spacing w:after="60" w:before="0"/>
      </w:pPr>
    </w:p>
    <w:p>
      <w:pPr>
        <w:spacing w:after="60" w:before="0"/>
      </w:pPr>
      <w:r>
        <w:rPr>
          <w:rFonts w:ascii="Arial" w:cs="Arial" w:eastAsia="Arial" w:hAnsi="Arial"/>
          <w:color w:val="1A1A1A"/>
          <w:sz w:val="18"/>
          <w:szCs w:val="18"/>
        </w:rPr>
        <w:t xml:space="preserve">Microsoft Excel (Advanced)  •  Word  •  PowerPoint  •  Teams  •  Outlook  •  Power BI  •  Claims Management Systems  •  Policy Administration Platforms  •  Loss-Run &amp; Claims-Cost Reporting  •  Data Visualization &amp; Trend Analysis  •  SQL Fundamentals  •  Risk Scoring &amp; Analytics  •  Audit-Compliant Documentation  •  AI-Enabled Workflow Automation  •  Web-Based Presentation Platforms</w:t>
      </w:r>
    </w:p>
    <w:sectPr>
      <w:pgSz w:w="12240" w:h="15840" w:orient="portrait"/>
      <w:pgMar w:top="900" w:right="1080" w:bottom="9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2026-06-08T02:05:41.101Z</dcterms:created>
  <dcterms:modified xsi:type="dcterms:W3CDTF">2026-06-08T02:05:41.116Z</dcterms:modified>
</cp:coreProperties>
</file>

<file path=docProps/custom.xml><?xml version="1.0" encoding="utf-8"?>
<Properties xmlns="http://schemas.openxmlformats.org/officeDocument/2006/custom-properties" xmlns:vt="http://schemas.openxmlformats.org/officeDocument/2006/docPropsVTypes"/>
</file>