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A3A5C"/>
          <w:spacing w:val="60"/>
          <w:sz w:val="36"/>
          <w:szCs w:val="36"/>
        </w:rPr>
        <w:t xml:space="preserve">DARION DeBROSSARD</w:t>
      </w:r>
    </w:p>
    <w:p>
      <w:pPr>
        <w:spacing w:after="40" w:before="0"/>
        <w:jc w:val="center"/>
      </w:pPr>
      <w:r>
        <w:rPr>
          <w:rFonts w:ascii="Arial" w:cs="Arial" w:eastAsia="Arial" w:hAnsi="Arial"/>
          <w:i/>
          <w:iCs/>
          <w:color w:val="2E5F8A"/>
          <w:sz w:val="18"/>
          <w:szCs w:val="18"/>
        </w:rPr>
        <w:t xml:space="preserve">Insurance Risk Consulting  |  Casualty Loss Analysis  |  Underwriter Support</w:t>
      </w:r>
    </w:p>
    <w:p>
      <w:pPr>
        <w:spacing w:after="20" w:before="0"/>
        <w:jc w:val="center"/>
      </w:pPr>
      <w:r>
        <w:rPr>
          <w:rFonts w:ascii="Arial" w:cs="Arial" w:eastAsia="Arial" w:hAnsi="Arial"/>
          <w:color w:val="666666"/>
          <w:sz w:val="18"/>
          <w:szCs w:val="18"/>
        </w:rPr>
        <w:t xml:space="preserve">Atlanta, GA  •  (470) 796-7032  •  debrossarddarion@gmail.com</w:t>
      </w:r>
    </w:p>
    <w:p>
      <w:pPr>
        <w:pBdr>
          <w:bottom w:val="single" w:color="1A3A5C" w:sz="8" w:space="1"/>
        </w:pBdr>
        <w:spacing w:after="80" w:before="0"/>
      </w:pPr>
    </w:p>
    <w:p>
      <w:pPr>
        <w:spacing w:after="80" w:before="0"/>
      </w:pPr>
    </w:p>
    <w:p>
      <w:pPr>
        <w:pBdr>
          <w:bottom w:val="single" w:color="1A3A5C" w:sz="6" w:space="2"/>
        </w:pBdr>
        <w:spacing w:after="0" w:before="160"/>
      </w:pPr>
      <w:r>
        <w:rPr>
          <w:rFonts w:ascii="Arial" w:cs="Arial" w:eastAsia="Arial" w:hAnsi="Arial"/>
          <w:b/>
          <w:bCs/>
          <w:color w:val="1A3A5C"/>
          <w:spacing w:val="40"/>
          <w:sz w:val="21"/>
          <w:szCs w:val="21"/>
        </w:rPr>
        <w:t xml:space="preserve">PROFESSIONAL SUMMARY</w:t>
      </w:r>
    </w:p>
    <w:p>
      <w:pPr>
        <w:spacing w:after="60" w:before="0"/>
      </w:pPr>
    </w:p>
    <w:p>
      <w:pPr>
        <w:spacing w:after="60" w:before="0"/>
      </w:pPr>
      <w:r>
        <w:rPr>
          <w:rFonts w:ascii="Arial" w:cs="Arial" w:eastAsia="Arial" w:hAnsi="Arial"/>
          <w:color w:val="1A1A1A"/>
          <w:sz w:val="19"/>
          <w:szCs w:val="19"/>
        </w:rPr>
        <w:t xml:space="preserve">Insurance risk and operations professional with 5+ years analyzing casualty exposures, evaluating claims data, and delivering written risk intelligence to underwriting teams across specialty, marine, and P&amp;C lines. Experienced identifying operational hazards and loss drivers from claims portfolios, translating account-level data into actionable recommendations for underwriters and clients, and documenting findings to state regulatory and audit standards. Strong analytical and written communication skills; proficient in Microsoft Excel, Word, PowerPoint, and Power BI. Comfortable operating independently, managing multiple account assignments simultaneously, and presenting risk assessments to internal and external stakeholders in person and via web-based platforms. Active insurance adjuster licensure in all 50 states; CPCU/AIC certification in progress.</w:t>
      </w:r>
    </w:p>
    <w:p>
      <w:pPr>
        <w:spacing w:after="60" w:before="0"/>
      </w:pPr>
    </w:p>
    <w:p>
      <w:pPr>
        <w:pBdr>
          <w:bottom w:val="single" w:color="1A3A5C" w:sz="6" w:space="2"/>
        </w:pBdr>
        <w:spacing w:after="0" w:before="160"/>
      </w:pPr>
      <w:r>
        <w:rPr>
          <w:rFonts w:ascii="Arial" w:cs="Arial" w:eastAsia="Arial" w:hAnsi="Arial"/>
          <w:b/>
          <w:bCs/>
          <w:color w:val="1A3A5C"/>
          <w:spacing w:val="40"/>
          <w:sz w:val="21"/>
          <w:szCs w:val="21"/>
        </w:rPr>
        <w:t xml:space="preserve">CORE COMPETENCIES</w:t>
      </w:r>
    </w:p>
    <w:p>
      <w:pPr>
        <w:spacing w:after="60" w:before="0"/>
      </w:pPr>
    </w:p>
    <w:p>
      <w:pPr>
        <w:spacing w:after="30" w:before="0"/>
      </w:pPr>
      <w:r>
        <w:rPr>
          <w:rFonts w:ascii="Arial" w:cs="Arial" w:eastAsia="Arial" w:hAnsi="Arial"/>
          <w:color w:val="1A1A1A"/>
          <w:sz w:val="18"/>
          <w:szCs w:val="18"/>
        </w:rPr>
        <w:t xml:space="preserve">Casualty Exposure Identification &amp; Assessment  •  Loss Driver Analysis (WC / GL / Auto)  •  Risk Survey Documentation &amp; Reporting  •  Underwriter Risk Intelligence Support  •  Claims Data Evaluation &amp; Trend Analysis  •  Operational Hazard Review  •  Client Risk Recommendations  •  Regulatory &amp; Audit-Compliant Documentation  •  Vendor &amp; Contractor Management  •  Portfolio-Level Risk Identification  •  Written &amp; Verbal Risk Communication  •  Sarbanes-Oxley (SOX) Compliance  •  Microsoft Excel, Word &amp; PowerPoint  •  Power BI &amp; Data Visualization  •  Stakeholder Presentation (In-Person &amp; Web-Based)  •  Independent Decision-Making  •  AI-Enabled Workflow Automation</w:t>
      </w:r>
    </w:p>
    <w:p>
      <w:pPr>
        <w:spacing w:after="60" w:before="0"/>
      </w:pPr>
    </w:p>
    <w:p>
      <w:pPr>
        <w:pBdr>
          <w:bottom w:val="single" w:color="1A3A5C" w:sz="6" w:space="2"/>
        </w:pBdr>
        <w:spacing w:after="0" w:before="160"/>
      </w:pPr>
      <w:r>
        <w:rPr>
          <w:rFonts w:ascii="Arial" w:cs="Arial" w:eastAsia="Arial" w:hAnsi="Arial"/>
          <w:b/>
          <w:bCs/>
          <w:color w:val="1A3A5C"/>
          <w:spacing w:val="40"/>
          <w:sz w:val="21"/>
          <w:szCs w:val="21"/>
        </w:rPr>
        <w:t xml:space="preserve">PROFESSIONAL EXPERIENCE</w:t>
      </w:r>
    </w:p>
    <w:p>
      <w:pPr>
        <w:spacing w:after="40" w:before="0"/>
      </w:pPr>
    </w:p>
    <w:p>
      <w:pPr>
        <w:tabs>
          <w:tab w:val="right" w:pos="9360"/>
        </w:tabs>
        <w:spacing w:after="0" w:before="120"/>
      </w:pPr>
      <w:r>
        <w:rPr>
          <w:rFonts w:ascii="Arial" w:cs="Arial" w:eastAsia="Arial" w:hAnsi="Arial"/>
          <w:b/>
          <w:bCs/>
          <w:color w:val="1A1A1A"/>
          <w:sz w:val="22"/>
          <w:szCs w:val="22"/>
        </w:rPr>
        <w:t xml:space="preserve">Casualty Risk &amp; Operations Consultant — Marine &amp; Specialty Lines</w:t>
      </w:r>
      <w:r>
        <w:rPr>
          <w:rFonts w:ascii="Arial" w:cs="Arial" w:eastAsia="Arial" w:hAnsi="Arial"/>
          <w:color w:val="666666"/>
          <w:sz w:val="19"/>
          <w:szCs w:val="19"/>
        </w:rPr>
        <w:t xml:space="preserve">	2023 – 2025</w:t>
      </w:r>
    </w:p>
    <w:p>
      <w:pPr>
        <w:tabs>
          <w:tab w:val="right" w:pos="9360"/>
        </w:tabs>
        <w:spacing w:after="60" w:before="0"/>
      </w:pPr>
      <w:r>
        <w:rPr>
          <w:rFonts w:ascii="Arial" w:cs="Arial" w:eastAsia="Arial" w:hAnsi="Arial"/>
          <w:i/>
          <w:iCs/>
          <w:color w:val="2E5F8A"/>
          <w:sz w:val="19"/>
          <w:szCs w:val="19"/>
        </w:rPr>
        <w:t xml:space="preserve">Intact Insurance Specialty Solutions</w:t>
      </w:r>
      <w:r>
        <w:rPr>
          <w:rFonts w:ascii="Arial" w:cs="Arial" w:eastAsia="Arial" w:hAnsi="Arial"/>
          <w:i/>
          <w:iCs/>
          <w:color w:val="666666"/>
          <w:sz w:val="18"/>
          <w:szCs w:val="18"/>
        </w:rPr>
        <w:t xml:space="preserve">	Alpharetta / Atlanta, GA</w:t>
      </w:r>
    </w:p>
    <w:p>
      <w:pPr>
        <w:pStyle w:val="ListParagraph"/>
        <w:numPr>
          <w:ilvl w:val="0"/>
          <w:numId w:val="2"/>
        </w:numPr>
        <w:spacing w:after="30" w:before="30"/>
      </w:pPr>
      <w:r>
        <w:rPr>
          <w:rFonts w:ascii="Arial" w:cs="Arial" w:eastAsia="Arial" w:hAnsi="Arial"/>
          <w:color w:val="1A1A1A"/>
          <w:sz w:val="19"/>
          <w:szCs w:val="19"/>
        </w:rPr>
        <w:t xml:space="preserve">Evaluated casualty exposures and operational risk profiles across assigned specialty and marine accounts, analyzing claims data to identify historical loss drivers, emerging hazard patterns, and gaps in insured controls — translating findings into detailed written reports and recommendations delivered to underwriting teams.</w:t>
      </w:r>
    </w:p>
    <w:p>
      <w:pPr>
        <w:pStyle w:val="ListParagraph"/>
        <w:numPr>
          <w:ilvl w:val="0"/>
          <w:numId w:val="2"/>
        </w:numPr>
        <w:spacing w:after="30" w:before="30"/>
      </w:pPr>
      <w:r>
        <w:rPr>
          <w:rFonts w:ascii="Arial" w:cs="Arial" w:eastAsia="Arial" w:hAnsi="Arial"/>
          <w:color w:val="1A1A1A"/>
          <w:sz w:val="19"/>
          <w:szCs w:val="19"/>
        </w:rPr>
        <w:t xml:space="preserve">Analyzed account-level claims portfolios covering liability, property damage, and marine casualty exposures; assessed reserve movement, loss frequency, severity trends, and cycle-time indicators to surface actionable insights for underwriters making coverage and pricing decisions.</w:t>
      </w:r>
    </w:p>
    <w:p>
      <w:pPr>
        <w:pStyle w:val="ListParagraph"/>
        <w:numPr>
          <w:ilvl w:val="0"/>
          <w:numId w:val="2"/>
        </w:numPr>
        <w:spacing w:after="30" w:before="30"/>
      </w:pPr>
      <w:r>
        <w:rPr>
          <w:rFonts w:ascii="Arial" w:cs="Arial" w:eastAsia="Arial" w:hAnsi="Arial"/>
          <w:color w:val="1A1A1A"/>
          <w:sz w:val="19"/>
          <w:szCs w:val="19"/>
        </w:rPr>
        <w:t xml:space="preserve">Documented risk survey findings, referral notes, and account assessments to state regulatory standards and internal audit guidelines, ensuring all underwriting file documentation met compliance requirements throughout the account lifecycle.</w:t>
      </w:r>
    </w:p>
    <w:p>
      <w:pPr>
        <w:pStyle w:val="ListParagraph"/>
        <w:numPr>
          <w:ilvl w:val="0"/>
          <w:numId w:val="2"/>
        </w:numPr>
        <w:spacing w:after="30" w:before="30"/>
      </w:pPr>
      <w:r>
        <w:rPr>
          <w:rFonts w:ascii="Arial" w:cs="Arial" w:eastAsia="Arial" w:hAnsi="Arial"/>
          <w:color w:val="1A1A1A"/>
          <w:sz w:val="19"/>
          <w:szCs w:val="19"/>
        </w:rPr>
        <w:t xml:space="preserve">Worked directly with clients and brokers to identify operational exposures and loss control opportunities, providing written and verbal recommendations on risk mitigation practices and procedural controls to reduce claims frequency.</w:t>
      </w:r>
    </w:p>
    <w:p>
      <w:pPr>
        <w:pStyle w:val="ListParagraph"/>
        <w:numPr>
          <w:ilvl w:val="0"/>
          <w:numId w:val="2"/>
        </w:numPr>
        <w:spacing w:after="30" w:before="30"/>
      </w:pPr>
      <w:r>
        <w:rPr>
          <w:rFonts w:ascii="Arial" w:cs="Arial" w:eastAsia="Arial" w:hAnsi="Arial"/>
          <w:color w:val="1A1A1A"/>
          <w:sz w:val="19"/>
          <w:szCs w:val="19"/>
        </w:rPr>
        <w:t xml:space="preserve">Coordinated with internal underwriting teams, loss control partners, SIU, TPAs, and external vendors to align risk assessment scope, documentation, and resolution timelines on complex multi-exposure accounts.</w:t>
      </w:r>
    </w:p>
    <w:p>
      <w:pPr>
        <w:pStyle w:val="ListParagraph"/>
        <w:numPr>
          <w:ilvl w:val="0"/>
          <w:numId w:val="2"/>
        </w:numPr>
        <w:spacing w:after="30" w:before="30"/>
      </w:pPr>
      <w:r>
        <w:rPr>
          <w:rFonts w:ascii="Arial" w:cs="Arial" w:eastAsia="Arial" w:hAnsi="Arial"/>
          <w:color w:val="1A1A1A"/>
          <w:sz w:val="19"/>
          <w:szCs w:val="19"/>
        </w:rPr>
        <w:t xml:space="preserve">Managed third-party vendor relationships supporting specialized loss control and risk assessment tasks, providing oversight and quality control on deliverables to ensure consistency with underwriting file requirements.</w:t>
      </w:r>
    </w:p>
    <w:p>
      <w:pPr>
        <w:pStyle w:val="ListParagraph"/>
        <w:numPr>
          <w:ilvl w:val="0"/>
          <w:numId w:val="2"/>
        </w:numPr>
        <w:spacing w:after="30" w:before="30"/>
      </w:pPr>
      <w:r>
        <w:rPr>
          <w:rFonts w:ascii="Arial" w:cs="Arial" w:eastAsia="Arial" w:hAnsi="Arial"/>
          <w:color w:val="1A1A1A"/>
          <w:sz w:val="19"/>
          <w:szCs w:val="19"/>
        </w:rPr>
        <w:t xml:space="preserve">Piloted AI-enabled tools for report drafting, file-quality checklisting, and trend analysis — improving documentation quality and reducing turnaround time on written risk assessments and underwriter communications.</w:t>
      </w:r>
    </w:p>
    <w:p>
      <w:pPr>
        <w:spacing w:after="60" w:before="0"/>
      </w:pPr>
    </w:p>
    <w:p>
      <w:pPr>
        <w:tabs>
          <w:tab w:val="right" w:pos="9360"/>
        </w:tabs>
        <w:spacing w:after="0" w:before="120"/>
      </w:pPr>
      <w:r>
        <w:rPr>
          <w:rFonts w:ascii="Arial" w:cs="Arial" w:eastAsia="Arial" w:hAnsi="Arial"/>
          <w:b/>
          <w:bCs/>
          <w:color w:val="1A1A1A"/>
          <w:sz w:val="22"/>
          <w:szCs w:val="22"/>
        </w:rPr>
        <w:t xml:space="preserve">Insurance Risk Analytics Consultant — Operations &amp; Workflow Design</w:t>
      </w:r>
      <w:r>
        <w:rPr>
          <w:rFonts w:ascii="Arial" w:cs="Arial" w:eastAsia="Arial" w:hAnsi="Arial"/>
          <w:color w:val="666666"/>
          <w:sz w:val="19"/>
          <w:szCs w:val="19"/>
        </w:rPr>
        <w:t xml:space="preserve">	2021 – 2023</w:t>
      </w:r>
    </w:p>
    <w:p>
      <w:pPr>
        <w:tabs>
          <w:tab w:val="right" w:pos="9360"/>
        </w:tabs>
        <w:spacing w:after="60" w:before="0"/>
      </w:pPr>
      <w:r>
        <w:rPr>
          <w:rFonts w:ascii="Arial" w:cs="Arial" w:eastAsia="Arial" w:hAnsi="Arial"/>
          <w:i/>
          <w:iCs/>
          <w:color w:val="2E5F8A"/>
          <w:sz w:val="19"/>
          <w:szCs w:val="19"/>
        </w:rPr>
        <w:t xml:space="preserve">Esync Technologies</w:t>
      </w:r>
      <w:r>
        <w:rPr>
          <w:rFonts w:ascii="Arial" w:cs="Arial" w:eastAsia="Arial" w:hAnsi="Arial"/>
          <w:i/>
          <w:iCs/>
          <w:color w:val="666666"/>
          <w:sz w:val="18"/>
          <w:szCs w:val="18"/>
        </w:rPr>
        <w:t xml:space="preserve">	Atlanta, GA</w:t>
      </w:r>
    </w:p>
    <w:p>
      <w:pPr>
        <w:pStyle w:val="ListParagraph"/>
        <w:numPr>
          <w:ilvl w:val="0"/>
          <w:numId w:val="2"/>
        </w:numPr>
        <w:spacing w:after="30" w:before="30"/>
      </w:pPr>
      <w:r>
        <w:rPr>
          <w:rFonts w:ascii="Arial" w:cs="Arial" w:eastAsia="Arial" w:hAnsi="Arial"/>
          <w:color w:val="1A1A1A"/>
          <w:sz w:val="19"/>
          <w:szCs w:val="19"/>
        </w:rPr>
        <w:t xml:space="preserve">Conducted operational risk assessments of carrier and brokerage workflows — evaluating submissions, policy renewals, claims handoffs, and internal reporting processes — and identified control gaps with measurable impact on loss experience and operational decision quality.</w:t>
      </w:r>
    </w:p>
    <w:p>
      <w:pPr>
        <w:pStyle w:val="ListParagraph"/>
        <w:numPr>
          <w:ilvl w:val="0"/>
          <w:numId w:val="2"/>
        </w:numPr>
        <w:spacing w:after="30" w:before="30"/>
      </w:pPr>
      <w:r>
        <w:rPr>
          <w:rFonts w:ascii="Arial" w:cs="Arial" w:eastAsia="Arial" w:hAnsi="Arial"/>
          <w:color w:val="1A1A1A"/>
          <w:sz w:val="19"/>
          <w:szCs w:val="19"/>
        </w:rPr>
        <w:t xml:space="preserve">Built risk and loss-cost analytics frameworks measuring incident volume, claims costs, turnaround time, and decision consistency; developed data visualizations and executive presentations that translated complex risk data into clear action plans for senior stakeholders.</w:t>
      </w:r>
    </w:p>
    <w:p>
      <w:pPr>
        <w:pStyle w:val="ListParagraph"/>
        <w:numPr>
          <w:ilvl w:val="0"/>
          <w:numId w:val="2"/>
        </w:numPr>
        <w:spacing w:after="30" w:before="30"/>
      </w:pPr>
      <w:r>
        <w:rPr>
          <w:rFonts w:ascii="Arial" w:cs="Arial" w:eastAsia="Arial" w:hAnsi="Arial"/>
          <w:color w:val="1A1A1A"/>
          <w:sz w:val="19"/>
          <w:szCs w:val="19"/>
        </w:rPr>
        <w:t xml:space="preserve">Delivered written risk findings and business cases to senior insurance and technology leaders, applying rigorous documentation standards consistent with SOX internal control requirements.</w:t>
      </w:r>
    </w:p>
    <w:p>
      <w:pPr>
        <w:pStyle w:val="ListParagraph"/>
        <w:numPr>
          <w:ilvl w:val="0"/>
          <w:numId w:val="2"/>
        </w:numPr>
        <w:spacing w:after="30" w:before="30"/>
      </w:pPr>
      <w:r>
        <w:rPr>
          <w:rFonts w:ascii="Arial" w:cs="Arial" w:eastAsia="Arial" w:hAnsi="Arial"/>
          <w:color w:val="1A1A1A"/>
          <w:sz w:val="19"/>
          <w:szCs w:val="19"/>
        </w:rPr>
        <w:t xml:space="preserve">Coordinated across distributed stakeholder groups including cross-time-zone collaboration with UK- and India-based contacts, maintaining delivery timelines and output quality without disruption.</w:t>
      </w:r>
    </w:p>
    <w:p>
      <w:pPr>
        <w:spacing w:after="60" w:before="0"/>
      </w:pPr>
    </w:p>
    <w:p>
      <w:pPr>
        <w:tabs>
          <w:tab w:val="right" w:pos="9360"/>
        </w:tabs>
        <w:spacing w:after="0" w:before="120"/>
      </w:pPr>
      <w:r>
        <w:rPr>
          <w:rFonts w:ascii="Arial" w:cs="Arial" w:eastAsia="Arial" w:hAnsi="Arial"/>
          <w:b/>
          <w:bCs/>
          <w:color w:val="1A1A1A"/>
          <w:sz w:val="22"/>
          <w:szCs w:val="22"/>
        </w:rPr>
        <w:t xml:space="preserve">Insurance Risk Education Consultant — Training &amp; Regulatory Compliance</w:t>
      </w:r>
      <w:r>
        <w:rPr>
          <w:rFonts w:ascii="Arial" w:cs="Arial" w:eastAsia="Arial" w:hAnsi="Arial"/>
          <w:color w:val="666666"/>
          <w:sz w:val="19"/>
          <w:szCs w:val="19"/>
        </w:rPr>
        <w:t xml:space="preserve">	2020 – 2021</w:t>
      </w:r>
    </w:p>
    <w:p>
      <w:pPr>
        <w:tabs>
          <w:tab w:val="right" w:pos="9360"/>
        </w:tabs>
        <w:spacing w:after="60" w:before="0"/>
      </w:pPr>
      <w:r>
        <w:rPr>
          <w:rFonts w:ascii="Arial" w:cs="Arial" w:eastAsia="Arial" w:hAnsi="Arial"/>
          <w:i/>
          <w:iCs/>
          <w:color w:val="2E5F8A"/>
          <w:sz w:val="19"/>
          <w:szCs w:val="19"/>
        </w:rPr>
        <w:t xml:space="preserve">American Institute of Insurance Research</w:t>
      </w:r>
      <w:r>
        <w:rPr>
          <w:rFonts w:ascii="Arial" w:cs="Arial" w:eastAsia="Arial" w:hAnsi="Arial"/>
          <w:i/>
          <w:iCs/>
          <w:color w:val="666666"/>
          <w:sz w:val="18"/>
          <w:szCs w:val="18"/>
        </w:rPr>
        <w:t xml:space="preserve">	Atlanta, GA</w:t>
      </w:r>
    </w:p>
    <w:p>
      <w:pPr>
        <w:pStyle w:val="ListParagraph"/>
        <w:numPr>
          <w:ilvl w:val="0"/>
          <w:numId w:val="2"/>
        </w:numPr>
        <w:spacing w:after="30" w:before="30"/>
      </w:pPr>
      <w:r>
        <w:rPr>
          <w:rFonts w:ascii="Arial" w:cs="Arial" w:eastAsia="Arial" w:hAnsi="Arial"/>
          <w:color w:val="1A1A1A"/>
          <w:sz w:val="19"/>
          <w:szCs w:val="19"/>
        </w:rPr>
        <w:t xml:space="preserve">Designed and delivered continuing education for insurance professionals on casualty risk topics including loss control fundamentals, liability exposure analysis, coverage interpretation, and state regulatory compliance.</w:t>
      </w:r>
    </w:p>
    <w:p>
      <w:pPr>
        <w:pStyle w:val="ListParagraph"/>
        <w:numPr>
          <w:ilvl w:val="0"/>
          <w:numId w:val="2"/>
        </w:numPr>
        <w:spacing w:after="30" w:before="30"/>
      </w:pPr>
      <w:r>
        <w:rPr>
          <w:rFonts w:ascii="Arial" w:cs="Arial" w:eastAsia="Arial" w:hAnsi="Arial"/>
          <w:color w:val="1A1A1A"/>
          <w:sz w:val="19"/>
          <w:szCs w:val="19"/>
        </w:rPr>
        <w:t xml:space="preserve">Developed practical training materials, case studies, and assessment tools aligned with state regulatory standards — building knowledge across brokerage and carrier operations teams on risk identification and documentation best practices.</w:t>
      </w:r>
    </w:p>
    <w:p>
      <w:pPr>
        <w:spacing w:after="60" w:before="0"/>
      </w:pPr>
    </w:p>
    <w:p>
      <w:pPr>
        <w:pBdr>
          <w:bottom w:val="single" w:color="1A3A5C" w:sz="6" w:space="2"/>
        </w:pBdr>
        <w:spacing w:after="0" w:before="160"/>
      </w:pPr>
      <w:r>
        <w:rPr>
          <w:rFonts w:ascii="Arial" w:cs="Arial" w:eastAsia="Arial" w:hAnsi="Arial"/>
          <w:b/>
          <w:bCs/>
          <w:color w:val="1A3A5C"/>
          <w:spacing w:val="40"/>
          <w:sz w:val="21"/>
          <w:szCs w:val="21"/>
        </w:rPr>
        <w:t xml:space="preserve">EDUCATION</w:t>
      </w:r>
    </w:p>
    <w:p>
      <w:pPr>
        <w:spacing w:after="60" w:before="0"/>
      </w:pPr>
    </w:p>
    <w:p>
      <w:pPr>
        <w:tabs>
          <w:tab w:val="right" w:pos="9360"/>
        </w:tabs>
        <w:spacing w:after="20" w:before="60"/>
      </w:pPr>
      <w:r>
        <w:rPr>
          <w:rFonts w:ascii="Arial" w:cs="Arial" w:eastAsia="Arial" w:hAnsi="Arial"/>
          <w:b/>
          <w:bCs/>
          <w:color w:val="1A1A1A"/>
          <w:sz w:val="19"/>
          <w:szCs w:val="19"/>
        </w:rPr>
        <w:t xml:space="preserve">M.S., Leadership Administration</w:t>
      </w:r>
      <w:r>
        <w:rPr>
          <w:rFonts w:ascii="Arial" w:cs="Arial" w:eastAsia="Arial" w:hAnsi="Arial"/>
          <w:color w:val="666666"/>
          <w:sz w:val="19"/>
          <w:szCs w:val="19"/>
        </w:rPr>
        <w:t xml:space="preserve">	Austin Peay State University</w:t>
      </w:r>
    </w:p>
    <w:p>
      <w:pPr>
        <w:tabs>
          <w:tab w:val="right" w:pos="9360"/>
        </w:tabs>
        <w:spacing w:after="40" w:before="0"/>
      </w:pPr>
      <w:r>
        <w:rPr>
          <w:rFonts w:ascii="Arial" w:cs="Arial" w:eastAsia="Arial" w:hAnsi="Arial"/>
          <w:b/>
          <w:bCs/>
          <w:color w:val="1A1A1A"/>
          <w:sz w:val="19"/>
          <w:szCs w:val="19"/>
        </w:rPr>
        <w:t xml:space="preserve">B.A., Sociology  |  Computer Science minor</w:t>
      </w:r>
      <w:r>
        <w:rPr>
          <w:rFonts w:ascii="Arial" w:cs="Arial" w:eastAsia="Arial" w:hAnsi="Arial"/>
          <w:i/>
          <w:iCs/>
          <w:color w:val="666666"/>
          <w:sz w:val="18"/>
          <w:szCs w:val="18"/>
        </w:rPr>
        <w:t xml:space="preserve">	Vanderbilt University  —  SEC Division I Football (Full Scholarship)</w:t>
      </w:r>
    </w:p>
    <w:p>
      <w:pPr>
        <w:spacing w:after="60" w:before="0"/>
      </w:pPr>
    </w:p>
    <w:p>
      <w:pPr>
        <w:pBdr>
          <w:bottom w:val="single" w:color="1A3A5C" w:sz="6" w:space="2"/>
        </w:pBdr>
        <w:spacing w:after="0" w:before="160"/>
      </w:pPr>
      <w:r>
        <w:rPr>
          <w:rFonts w:ascii="Arial" w:cs="Arial" w:eastAsia="Arial" w:hAnsi="Arial"/>
          <w:b/>
          <w:bCs/>
          <w:color w:val="1A3A5C"/>
          <w:spacing w:val="40"/>
          <w:sz w:val="21"/>
          <w:szCs w:val="21"/>
        </w:rPr>
        <w:t xml:space="preserve">CERTIFICATIONS &amp; LICENSING</w:t>
      </w:r>
    </w:p>
    <w:p>
      <w:pPr>
        <w:spacing w:after="60" w:before="0"/>
      </w:pPr>
    </w:p>
    <w:p>
      <w:pPr>
        <w:pStyle w:val="ListParagraph"/>
        <w:numPr>
          <w:ilvl w:val="0"/>
          <w:numId w:val="2"/>
        </w:numPr>
        <w:spacing w:after="30" w:before="30"/>
      </w:pPr>
      <w:r>
        <w:rPr>
          <w:rFonts w:ascii="Arial" w:cs="Arial" w:eastAsia="Arial" w:hAnsi="Arial"/>
          <w:color w:val="1A1A1A"/>
          <w:sz w:val="19"/>
          <w:szCs w:val="19"/>
        </w:rPr>
        <w:t xml:space="preserve">Licensed Insurance Adjuster — all 50 U.S. states (reciprocity, CE maintained)</w:t>
      </w:r>
    </w:p>
    <w:p>
      <w:pPr>
        <w:pStyle w:val="ListParagraph"/>
        <w:numPr>
          <w:ilvl w:val="0"/>
          <w:numId w:val="2"/>
        </w:numPr>
        <w:spacing w:after="30" w:before="30"/>
      </w:pPr>
      <w:r>
        <w:rPr>
          <w:rFonts w:ascii="Arial" w:cs="Arial" w:eastAsia="Arial" w:hAnsi="Arial"/>
          <w:color w:val="1A1A1A"/>
          <w:sz w:val="19"/>
          <w:szCs w:val="19"/>
        </w:rPr>
        <w:t xml:space="preserve">Industry Certification in Progress: CPCU / AIC Track</w:t>
      </w:r>
    </w:p>
    <w:p>
      <w:pPr>
        <w:pStyle w:val="ListParagraph"/>
        <w:numPr>
          <w:ilvl w:val="0"/>
          <w:numId w:val="2"/>
        </w:numPr>
        <w:spacing w:after="30" w:before="30"/>
      </w:pPr>
      <w:r>
        <w:rPr>
          <w:rFonts w:ascii="Arial" w:cs="Arial" w:eastAsia="Arial" w:hAnsi="Arial"/>
          <w:color w:val="1A1A1A"/>
          <w:sz w:val="19"/>
          <w:szCs w:val="19"/>
        </w:rPr>
        <w:t xml:space="preserve">Continuing Education Course Developer &amp; Instructor — casualty risk, loss control, liability coverage, and regulatory compliance</w:t>
      </w:r>
    </w:p>
    <w:p>
      <w:pPr>
        <w:spacing w:after="60" w:before="0"/>
      </w:pPr>
    </w:p>
    <w:p>
      <w:pPr>
        <w:pBdr>
          <w:bottom w:val="single" w:color="1A3A5C" w:sz="6" w:space="2"/>
        </w:pBdr>
        <w:spacing w:after="0" w:before="160"/>
      </w:pPr>
      <w:r>
        <w:rPr>
          <w:rFonts w:ascii="Arial" w:cs="Arial" w:eastAsia="Arial" w:hAnsi="Arial"/>
          <w:b/>
          <w:bCs/>
          <w:color w:val="1A3A5C"/>
          <w:spacing w:val="40"/>
          <w:sz w:val="21"/>
          <w:szCs w:val="21"/>
        </w:rPr>
        <w:t xml:space="preserve">TECHNICAL SKILLS &amp; TOOLS</w:t>
      </w:r>
    </w:p>
    <w:p>
      <w:pPr>
        <w:spacing w:after="60" w:before="0"/>
      </w:pPr>
    </w:p>
    <w:p>
      <w:pPr>
        <w:spacing w:after="60" w:before="0"/>
      </w:pPr>
      <w:r>
        <w:rPr>
          <w:rFonts w:ascii="Arial" w:cs="Arial" w:eastAsia="Arial" w:hAnsi="Arial"/>
          <w:color w:val="1A1A1A"/>
          <w:sz w:val="18"/>
          <w:szCs w:val="18"/>
        </w:rPr>
        <w:t xml:space="preserve">Microsoft Excel (Advanced)  •  Word  •  PowerPoint  •  Teams  •  Outlook  •  Power BI  •  Claims Management Systems  •  Policy Administration Platforms  •  Loss-Run &amp; Claims-Cost Reporting  •  Data Visualization &amp; Trend Analysis  •  SQL Fundamentals  •  Risk Scoring &amp; Analytics  •  Audit-Compliant Documentation  •  AI-Enabled Workflow Automation  •  Web-Based Presentation Platforms</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2026-06-08T02:05:41.101Z</dcterms:created>
  <dcterms:modified xsi:type="dcterms:W3CDTF">2026-06-08T02:05:41.116Z</dcterms:modified>
</cp:coreProperties>
</file>

<file path=docProps/custom.xml><?xml version="1.0" encoding="utf-8"?>
<Properties xmlns="http://schemas.openxmlformats.org/officeDocument/2006/custom-properties" xmlns:vt="http://schemas.openxmlformats.org/officeDocument/2006/docPropsVTypes"/>
</file>